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290DE5" w:rsidRDefault="001775C4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421DC">
              <w:rPr>
                <w:rFonts w:asciiTheme="minorHAnsi" w:hAnsiTheme="minorHAnsi"/>
                <w:sz w:val="22"/>
                <w:szCs w:val="22"/>
              </w:rPr>
              <w:t>Institutional Review Board</w:t>
            </w:r>
            <w:r w:rsidR="00F25DB3">
              <w:rPr>
                <w:rFonts w:asciiTheme="minorHAnsi" w:hAnsiTheme="minorHAnsi"/>
                <w:sz w:val="22"/>
                <w:szCs w:val="22"/>
              </w:rPr>
              <w:t xml:space="preserve"> (IRB)</w:t>
            </w:r>
          </w:p>
          <w:p w:rsidR="001775C4" w:rsidRPr="000E5548" w:rsidRDefault="003421DC" w:rsidP="00B56BAF">
            <w:pPr>
              <w:pStyle w:val="Standard1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0E5548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Cleave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 w:rsidRPr="000E5548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Pr="00135567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135567">
              <w:rPr>
                <w:rFonts w:asciiTheme="minorHAnsi" w:hAnsiTheme="minorHAnsi"/>
                <w:sz w:val="22"/>
                <w:szCs w:val="22"/>
              </w:rPr>
              <w:t>Alternate</w:t>
            </w:r>
            <w:r w:rsidR="003421DC" w:rsidRPr="00135567">
              <w:rPr>
                <w:rFonts w:asciiTheme="minorHAnsi" w:hAnsiTheme="minorHAnsi"/>
                <w:sz w:val="22"/>
                <w:szCs w:val="22"/>
              </w:rPr>
              <w:t>: Anna Mitterling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0E5548"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  <w:r w:rsidR="00135567" w:rsidRPr="000E5548">
              <w:rPr>
                <w:rFonts w:asciiTheme="minorHAnsi" w:hAnsiTheme="minorHAnsi"/>
              </w:rPr>
              <w:t xml:space="preserve">Patricia Ayers, </w:t>
            </w:r>
            <w:r w:rsidR="00C34ED1" w:rsidRPr="000E5548">
              <w:rPr>
                <w:rFonts w:asciiTheme="minorHAnsi" w:hAnsiTheme="minorHAnsi"/>
              </w:rPr>
              <w:t>Renee Brown</w:t>
            </w:r>
            <w:r w:rsidR="00C34ED1">
              <w:rPr>
                <w:rFonts w:asciiTheme="minorHAnsi" w:hAnsiTheme="minorHAnsi"/>
              </w:rPr>
              <w:t xml:space="preserve"> (</w:t>
            </w:r>
            <w:r w:rsidR="00C34ED1" w:rsidRPr="000E5548">
              <w:rPr>
                <w:rFonts w:asciiTheme="minorHAnsi" w:hAnsiTheme="minorHAnsi"/>
              </w:rPr>
              <w:t>phone</w:t>
            </w:r>
            <w:r w:rsidR="00C34ED1">
              <w:rPr>
                <w:rFonts w:asciiTheme="minorHAnsi" w:hAnsiTheme="minorHAnsi"/>
              </w:rPr>
              <w:t xml:space="preserve">), </w:t>
            </w:r>
            <w:r w:rsidR="00135567" w:rsidRPr="000E5548">
              <w:rPr>
                <w:rFonts w:asciiTheme="minorHAnsi" w:hAnsiTheme="minorHAnsi"/>
              </w:rPr>
              <w:t>Matthew Fall, James Owens, Katrina Steinsultz, Matthew Van Cleave, Melinda Wilson, Kari Richards</w:t>
            </w:r>
            <w:r w:rsidR="00135567">
              <w:rPr>
                <w:rFonts w:asciiTheme="minorHAnsi" w:hAnsiTheme="minorHAnsi"/>
              </w:rPr>
              <w:t xml:space="preserve"> (phone)</w:t>
            </w:r>
            <w:r w:rsidR="00135567" w:rsidRPr="000E5548">
              <w:rPr>
                <w:rFonts w:asciiTheme="minorHAnsi" w:hAnsiTheme="minorHAnsi"/>
              </w:rPr>
              <w:t>, Susan Jepsen</w:t>
            </w:r>
          </w:p>
          <w:p w:rsidR="006A3A03" w:rsidRPr="00290DE5" w:rsidRDefault="0014574B" w:rsidP="005D71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  <w:r w:rsidR="00135567">
              <w:rPr>
                <w:rFonts w:asciiTheme="minorHAnsi" w:hAnsiTheme="minorHAnsi"/>
              </w:rPr>
              <w:t>Anna Mitterling</w:t>
            </w: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37733A6A" w:rsidP="00DE53C3">
            <w:r>
              <w:t>Date:  March 1, 2019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2065"/>
      </w:tblGrid>
      <w:tr w:rsidR="001B3CF3" w:rsidRPr="00EF6EE5" w:rsidTr="00B56BAF">
        <w:trPr>
          <w:trHeight w:val="305"/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06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B56BAF">
        <w:trPr>
          <w:trHeight w:val="638"/>
          <w:jc w:val="center"/>
        </w:trPr>
        <w:tc>
          <w:tcPr>
            <w:tcW w:w="2155" w:type="dxa"/>
          </w:tcPr>
          <w:p w:rsidR="001148B4" w:rsidRDefault="37733A6A" w:rsidP="00DE53C3">
            <w:r>
              <w:t xml:space="preserve">Approval of the December 7, 2018 minutes </w:t>
            </w:r>
            <w:r w:rsidR="00B56BAF">
              <w:t>(</w:t>
            </w:r>
            <w:r>
              <w:t>2/1/19 mtg was canceled)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8732ED">
            <w:pPr>
              <w:tabs>
                <w:tab w:val="left" w:pos="3420"/>
              </w:tabs>
            </w:pPr>
          </w:p>
          <w:p w:rsidR="007E6DE2" w:rsidRDefault="00C34ED1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December 7, 2018 minutes a</w:t>
            </w:r>
            <w:r w:rsidR="000E5548">
              <w:t xml:space="preserve">pproved </w:t>
            </w:r>
            <w:r>
              <w:t>with no objections</w:t>
            </w:r>
            <w:r w:rsidR="00DE7C35">
              <w:t>.</w:t>
            </w:r>
          </w:p>
        </w:tc>
      </w:tr>
      <w:tr w:rsidR="00985BA3" w:rsidRPr="00EF6EE5" w:rsidTr="00B56BAF">
        <w:trPr>
          <w:trHeight w:val="638"/>
          <w:jc w:val="center"/>
        </w:trPr>
        <w:tc>
          <w:tcPr>
            <w:tcW w:w="2155" w:type="dxa"/>
          </w:tcPr>
          <w:p w:rsidR="00985BA3" w:rsidRDefault="00E7692C" w:rsidP="00985BA3">
            <w:r>
              <w:t>Discuss process considerations for administrators to conduct human research with faculty.</w:t>
            </w:r>
          </w:p>
        </w:tc>
        <w:tc>
          <w:tcPr>
            <w:tcW w:w="12065" w:type="dxa"/>
            <w:tcBorders>
              <w:top w:val="nil"/>
            </w:tcBorders>
          </w:tcPr>
          <w:p w:rsidR="00B155F3" w:rsidRDefault="00BD5410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Group discuss</w:t>
            </w:r>
            <w:r w:rsidR="004D5D70">
              <w:t>ion</w:t>
            </w:r>
            <w:r>
              <w:t xml:space="preserve">: </w:t>
            </w:r>
            <w:r w:rsidR="000E5548">
              <w:t xml:space="preserve">Must be aware of </w:t>
            </w:r>
            <w:r w:rsidR="004D5D70">
              <w:t>authority (real and perceived)</w:t>
            </w:r>
            <w:r w:rsidR="000E5548">
              <w:t xml:space="preserve"> and how that may affect conse</w:t>
            </w:r>
            <w:r w:rsidR="00B155F3">
              <w:t>n</w:t>
            </w:r>
            <w:r w:rsidR="000E5548">
              <w:t xml:space="preserve">t to participate. </w:t>
            </w:r>
          </w:p>
          <w:p w:rsidR="007E6DE2" w:rsidRDefault="00B155F3" w:rsidP="00B155F3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Important to establish protocol</w:t>
            </w:r>
          </w:p>
          <w:p w:rsidR="00BD5410" w:rsidRDefault="006B4831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Matt </w:t>
            </w:r>
            <w:r w:rsidR="002176F0">
              <w:t xml:space="preserve">F. </w:t>
            </w:r>
            <w:bookmarkStart w:id="0" w:name="_GoBack"/>
            <w:bookmarkEnd w:id="0"/>
            <w:r>
              <w:t>propose</w:t>
            </w:r>
            <w:r w:rsidR="00BD5410">
              <w:t>d:</w:t>
            </w:r>
            <w:r>
              <w:t xml:space="preserve"> </w:t>
            </w:r>
            <w:r w:rsidR="00BD5410">
              <w:t>Proposal Intake review by IRB Administrator or Chairman</w:t>
            </w:r>
            <w:r w:rsidR="00DE7C35">
              <w:t>.</w:t>
            </w:r>
          </w:p>
          <w:p w:rsidR="00BD5410" w:rsidRDefault="00BD5410" w:rsidP="00BD5410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Add to application questions, exact wording to be finalized:</w:t>
            </w:r>
          </w:p>
          <w:p w:rsidR="00BD5410" w:rsidRDefault="00BD5410" w:rsidP="00BD5410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 xml:space="preserve">Are you employed by LCC or affiliated with the college (including family members)? </w:t>
            </w:r>
          </w:p>
          <w:p w:rsidR="00BD5410" w:rsidRDefault="004D5D70" w:rsidP="00BD5410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If so, h</w:t>
            </w:r>
            <w:r w:rsidR="00BD5410">
              <w:t>ave you assessed the power dynamics at play in this study?</w:t>
            </w:r>
          </w:p>
          <w:p w:rsidR="00D01F45" w:rsidRDefault="00D01F45" w:rsidP="005E329E">
            <w:pPr>
              <w:pStyle w:val="ListParagraph"/>
              <w:numPr>
                <w:ilvl w:val="3"/>
                <w:numId w:val="35"/>
              </w:numPr>
              <w:tabs>
                <w:tab w:val="left" w:pos="3420"/>
              </w:tabs>
            </w:pPr>
            <w:r>
              <w:t>Group agreed adding to the proposal form.</w:t>
            </w:r>
          </w:p>
          <w:p w:rsidR="007C728C" w:rsidRDefault="00D01F45" w:rsidP="007C728C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Important to note the purpose of the proposal f</w:t>
            </w:r>
            <w:r w:rsidR="007C728C">
              <w:t>orm</w:t>
            </w:r>
            <w:r>
              <w:t xml:space="preserve"> is</w:t>
            </w:r>
            <w:r w:rsidR="007C728C">
              <w:t xml:space="preserve"> to get relevant inf</w:t>
            </w:r>
            <w:r>
              <w:t>ormation, not to settle all IRB questions</w:t>
            </w:r>
          </w:p>
          <w:p w:rsidR="007C728C" w:rsidRDefault="007C728C" w:rsidP="00D01F4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Melinda</w:t>
            </w:r>
            <w:r w:rsidR="00D01F45">
              <w:t xml:space="preserve"> noted that CITI courses should be investigated to</w:t>
            </w:r>
            <w:r>
              <w:t xml:space="preserve"> help with this discussion.</w:t>
            </w:r>
          </w:p>
          <w:p w:rsidR="00D01F45" w:rsidRDefault="00D01F45" w:rsidP="00D01F45">
            <w:pPr>
              <w:pStyle w:val="ListParagraph"/>
              <w:tabs>
                <w:tab w:val="left" w:pos="3420"/>
              </w:tabs>
            </w:pPr>
          </w:p>
        </w:tc>
      </w:tr>
      <w:tr w:rsidR="4BAD228B" w:rsidTr="00B56BAF">
        <w:trPr>
          <w:trHeight w:val="638"/>
          <w:jc w:val="center"/>
        </w:trPr>
        <w:tc>
          <w:tcPr>
            <w:tcW w:w="2155" w:type="dxa"/>
          </w:tcPr>
          <w:p w:rsidR="4BAD228B" w:rsidRDefault="4BAD228B" w:rsidP="4BAD228B">
            <w:r>
              <w:t>Discuss composition of IRB membership.</w:t>
            </w:r>
          </w:p>
        </w:tc>
        <w:tc>
          <w:tcPr>
            <w:tcW w:w="12065" w:type="dxa"/>
            <w:tcBorders>
              <w:top w:val="nil"/>
            </w:tcBorders>
          </w:tcPr>
          <w:p w:rsidR="4BAD228B" w:rsidRDefault="007C728C" w:rsidP="00DB3A8A">
            <w:pPr>
              <w:pStyle w:val="ListParagraph"/>
              <w:numPr>
                <w:ilvl w:val="0"/>
                <w:numId w:val="35"/>
              </w:numPr>
            </w:pPr>
            <w:r>
              <w:t>Melinda</w:t>
            </w:r>
            <w:r w:rsidR="0010798A">
              <w:t xml:space="preserve"> suggested </w:t>
            </w:r>
            <w:r w:rsidR="004D5D70">
              <w:t>changes to</w:t>
            </w:r>
            <w:r w:rsidR="0010798A">
              <w:t xml:space="preserve"> IRB member</w:t>
            </w:r>
            <w:r w:rsidR="004D5D70">
              <w:t>ship to cover any possible labor issues</w:t>
            </w:r>
            <w:r>
              <w:t>.</w:t>
            </w:r>
          </w:p>
          <w:p w:rsidR="007C728C" w:rsidRDefault="007C728C" w:rsidP="0010798A">
            <w:pPr>
              <w:pStyle w:val="ListParagraph"/>
              <w:numPr>
                <w:ilvl w:val="1"/>
                <w:numId w:val="35"/>
              </w:numPr>
            </w:pPr>
            <w:r>
              <w:t>Susan</w:t>
            </w:r>
            <w:r w:rsidR="0010798A">
              <w:t xml:space="preserve"> recommended having</w:t>
            </w:r>
            <w:r>
              <w:t xml:space="preserve"> a guest speaker</w:t>
            </w:r>
            <w:r w:rsidR="0010798A">
              <w:t xml:space="preserve"> to address any IRB questions brought up by a proposal</w:t>
            </w:r>
          </w:p>
          <w:p w:rsidR="0010798A" w:rsidRDefault="0010798A" w:rsidP="0010798A">
            <w:pPr>
              <w:pStyle w:val="ListParagraph"/>
              <w:numPr>
                <w:ilvl w:val="2"/>
                <w:numId w:val="35"/>
              </w:numPr>
            </w:pPr>
            <w:r>
              <w:t>For example, if a child care study at LCC’s Early Learning Center was under discussion could have a representative of that community speak</w:t>
            </w:r>
          </w:p>
          <w:p w:rsidR="0010798A" w:rsidRDefault="0010798A" w:rsidP="0010798A">
            <w:pPr>
              <w:pStyle w:val="ListParagraph"/>
              <w:numPr>
                <w:ilvl w:val="2"/>
                <w:numId w:val="35"/>
              </w:numPr>
            </w:pPr>
            <w:r>
              <w:t>Proposal Intake Review can pick up on potential needs and request speakers for upcoming meetings</w:t>
            </w:r>
          </w:p>
          <w:p w:rsidR="00C13D97" w:rsidRDefault="00C13D97" w:rsidP="0010798A">
            <w:pPr>
              <w:pStyle w:val="ListParagraph"/>
              <w:numPr>
                <w:ilvl w:val="2"/>
                <w:numId w:val="35"/>
              </w:numPr>
            </w:pPr>
            <w:r>
              <w:t>Need for a speaker would be determined on a case by case basis</w:t>
            </w:r>
          </w:p>
          <w:p w:rsidR="007C728C" w:rsidRDefault="00C13D97" w:rsidP="00DB3A8A">
            <w:pPr>
              <w:pStyle w:val="ListParagraph"/>
              <w:numPr>
                <w:ilvl w:val="0"/>
                <w:numId w:val="35"/>
              </w:numPr>
            </w:pPr>
            <w:r>
              <w:t>Group agreed to request a speaker, as needed, to give information on future research proposals.</w:t>
            </w:r>
          </w:p>
          <w:p w:rsidR="007C728C" w:rsidRDefault="007C728C" w:rsidP="00C13D97">
            <w:pPr>
              <w:pStyle w:val="ListParagraph"/>
            </w:pPr>
          </w:p>
        </w:tc>
      </w:tr>
      <w:tr w:rsidR="388D3B59" w:rsidTr="00B56BAF">
        <w:trPr>
          <w:trHeight w:val="638"/>
          <w:jc w:val="center"/>
        </w:trPr>
        <w:tc>
          <w:tcPr>
            <w:tcW w:w="2155" w:type="dxa"/>
          </w:tcPr>
          <w:p w:rsidR="388D3B59" w:rsidRDefault="388D3B59" w:rsidP="388D3B59">
            <w:r>
              <w:t>Discuss Refresher CITI Course options</w:t>
            </w:r>
          </w:p>
        </w:tc>
        <w:tc>
          <w:tcPr>
            <w:tcW w:w="12065" w:type="dxa"/>
            <w:tcBorders>
              <w:top w:val="nil"/>
            </w:tcBorders>
          </w:tcPr>
          <w:p w:rsidR="00915663" w:rsidRDefault="00915663" w:rsidP="00DB3A8A">
            <w:pPr>
              <w:pStyle w:val="ListParagraph"/>
              <w:numPr>
                <w:ilvl w:val="0"/>
                <w:numId w:val="35"/>
              </w:numPr>
            </w:pPr>
            <w:r>
              <w:t>Several IRB members CITI Program Registrations are going to expire</w:t>
            </w:r>
            <w:r w:rsidR="00F07DE8">
              <w:t xml:space="preserve"> in the next few months</w:t>
            </w:r>
            <w:r>
              <w:t>, requiring refresher course</w:t>
            </w:r>
            <w:r w:rsidR="00F07DE8">
              <w:t>s</w:t>
            </w:r>
            <w:r>
              <w:t xml:space="preserve"> or retaking initial courses.</w:t>
            </w:r>
          </w:p>
          <w:p w:rsidR="00D15F23" w:rsidRDefault="00D15F23" w:rsidP="00DB3A8A">
            <w:pPr>
              <w:pStyle w:val="ListParagraph"/>
              <w:numPr>
                <w:ilvl w:val="0"/>
                <w:numId w:val="35"/>
              </w:numPr>
            </w:pPr>
            <w:r>
              <w:t>Group reviewed various CITI course options</w:t>
            </w:r>
            <w:r w:rsidR="009B442B">
              <w:t xml:space="preserve"> and existing refresher modules</w:t>
            </w:r>
            <w:r>
              <w:t>:</w:t>
            </w:r>
          </w:p>
          <w:p w:rsidR="00D15F23" w:rsidRDefault="00D15F23" w:rsidP="00D15F23">
            <w:pPr>
              <w:pStyle w:val="ListParagraph"/>
              <w:numPr>
                <w:ilvl w:val="1"/>
                <w:numId w:val="35"/>
              </w:numPr>
            </w:pPr>
            <w:r>
              <w:t xml:space="preserve">Determined to create LCC’s own refresher </w:t>
            </w:r>
            <w:r w:rsidR="009B442B">
              <w:t>module, from summary document presented by Matt</w:t>
            </w:r>
          </w:p>
          <w:p w:rsidR="00D15F23" w:rsidRDefault="00D15F23" w:rsidP="00D15F23">
            <w:pPr>
              <w:pStyle w:val="ListParagraph"/>
              <w:numPr>
                <w:ilvl w:val="2"/>
                <w:numId w:val="35"/>
              </w:numPr>
            </w:pPr>
            <w:r>
              <w:t>Required Core Courses:</w:t>
            </w:r>
          </w:p>
          <w:p w:rsidR="009B442B" w:rsidRDefault="009B442B" w:rsidP="00D15F23">
            <w:pPr>
              <w:pStyle w:val="ListParagraph"/>
              <w:numPr>
                <w:ilvl w:val="3"/>
                <w:numId w:val="35"/>
              </w:numPr>
            </w:pPr>
            <w:r>
              <w:lastRenderedPageBreak/>
              <w:t xml:space="preserve">At least 1 </w:t>
            </w:r>
            <w:r w:rsidR="00D15F23">
              <w:t>Informed Consent</w:t>
            </w:r>
            <w:r>
              <w:t xml:space="preserve"> course – either from the Social-Behavioral-Educational (SBE) or Biomedical refresher modules already existing in CITI</w:t>
            </w:r>
          </w:p>
          <w:p w:rsidR="009B442B" w:rsidRDefault="009B442B" w:rsidP="00D15F23">
            <w:pPr>
              <w:pStyle w:val="ListParagraph"/>
              <w:numPr>
                <w:ilvl w:val="3"/>
                <w:numId w:val="35"/>
              </w:numPr>
            </w:pPr>
            <w:r>
              <w:t>Research in Educational Settings – from the existing CITI SBE refresher module</w:t>
            </w:r>
          </w:p>
          <w:p w:rsidR="009B442B" w:rsidRDefault="009B442B" w:rsidP="00D15F23">
            <w:pPr>
              <w:pStyle w:val="ListParagraph"/>
              <w:numPr>
                <w:ilvl w:val="3"/>
                <w:numId w:val="35"/>
              </w:numPr>
            </w:pPr>
            <w:r>
              <w:t>Assessing Risk – from the existing CITI SBE refresher module</w:t>
            </w:r>
          </w:p>
          <w:p w:rsidR="009B442B" w:rsidRDefault="009B442B" w:rsidP="009B442B">
            <w:pPr>
              <w:pStyle w:val="ListParagraph"/>
              <w:numPr>
                <w:ilvl w:val="2"/>
                <w:numId w:val="35"/>
              </w:numPr>
            </w:pPr>
            <w:r>
              <w:t xml:space="preserve">Choose </w:t>
            </w:r>
            <w:r w:rsidR="00706A23">
              <w:t xml:space="preserve">at least </w:t>
            </w:r>
            <w:r>
              <w:t>two elective courses from CITI offerings – and be willing to take others if needed for upcoming cases</w:t>
            </w:r>
          </w:p>
          <w:p w:rsidR="009B442B" w:rsidRDefault="009B442B" w:rsidP="009B442B">
            <w:pPr>
              <w:pStyle w:val="ListParagraph"/>
              <w:numPr>
                <w:ilvl w:val="3"/>
                <w:numId w:val="35"/>
              </w:numPr>
            </w:pPr>
            <w:r>
              <w:t>Examples include but are not limited to:</w:t>
            </w:r>
          </w:p>
          <w:p w:rsidR="009B442B" w:rsidRDefault="009B442B" w:rsidP="009B442B">
            <w:pPr>
              <w:pStyle w:val="ListParagraph"/>
              <w:numPr>
                <w:ilvl w:val="4"/>
                <w:numId w:val="35"/>
              </w:numPr>
            </w:pPr>
            <w:r>
              <w:t>HIPPA and Human Subject Research</w:t>
            </w:r>
          </w:p>
          <w:p w:rsidR="009B442B" w:rsidRDefault="009B442B" w:rsidP="009B442B">
            <w:pPr>
              <w:pStyle w:val="ListParagraph"/>
              <w:numPr>
                <w:ilvl w:val="4"/>
                <w:numId w:val="35"/>
              </w:numPr>
            </w:pPr>
            <w:r>
              <w:t>Conflicts of Interest in Human Subject Research</w:t>
            </w:r>
          </w:p>
          <w:p w:rsidR="009B442B" w:rsidRDefault="009B442B" w:rsidP="009B442B">
            <w:pPr>
              <w:pStyle w:val="ListParagraph"/>
              <w:numPr>
                <w:ilvl w:val="4"/>
                <w:numId w:val="35"/>
              </w:numPr>
            </w:pPr>
            <w:r>
              <w:t>Research Involving Children</w:t>
            </w:r>
          </w:p>
          <w:p w:rsidR="00CB30D6" w:rsidRDefault="00706A23" w:rsidP="388D3B59">
            <w:pPr>
              <w:pStyle w:val="ListParagraph"/>
              <w:numPr>
                <w:ilvl w:val="4"/>
                <w:numId w:val="35"/>
              </w:numPr>
            </w:pPr>
            <w:r>
              <w:t>History and Ethical Principles</w:t>
            </w:r>
          </w:p>
          <w:p w:rsidR="00CB30D6" w:rsidRDefault="00F07DE8" w:rsidP="00F07DE8">
            <w:pPr>
              <w:pStyle w:val="ListParagraph"/>
              <w:numPr>
                <w:ilvl w:val="0"/>
                <w:numId w:val="35"/>
              </w:numPr>
            </w:pPr>
            <w:r>
              <w:t xml:space="preserve">Recommended all members take the CITI Program Revised Common Rule module, as discussed in agenda point below. </w:t>
            </w:r>
          </w:p>
          <w:p w:rsidR="009F47FA" w:rsidRDefault="009F47FA" w:rsidP="00F07DE8">
            <w:pPr>
              <w:pStyle w:val="ListParagraph"/>
            </w:pPr>
          </w:p>
        </w:tc>
      </w:tr>
      <w:tr w:rsidR="00F03BB4" w:rsidTr="00B56BAF">
        <w:trPr>
          <w:trHeight w:val="638"/>
          <w:jc w:val="center"/>
        </w:trPr>
        <w:tc>
          <w:tcPr>
            <w:tcW w:w="2155" w:type="dxa"/>
          </w:tcPr>
          <w:p w:rsidR="00F03BB4" w:rsidRDefault="00F03BB4" w:rsidP="00F03BB4">
            <w:r>
              <w:lastRenderedPageBreak/>
              <w:t>Discuss changes to the Final Rule</w:t>
            </w:r>
          </w:p>
        </w:tc>
        <w:tc>
          <w:tcPr>
            <w:tcW w:w="12065" w:type="dxa"/>
            <w:tcBorders>
              <w:top w:val="nil"/>
            </w:tcBorders>
          </w:tcPr>
          <w:p w:rsidR="005848D8" w:rsidRPr="005848D8" w:rsidRDefault="00F03BB4" w:rsidP="005848D8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color w:val="auto"/>
                <w:u w:val="none"/>
              </w:rPr>
            </w:pPr>
            <w:r>
              <w:t xml:space="preserve">Summary of changes found at: </w:t>
            </w:r>
            <w:hyperlink r:id="rId10" w:history="1">
              <w:r>
                <w:rPr>
                  <w:rStyle w:val="Hyperlink"/>
                </w:rPr>
                <w:t>https://cuhs.harvard.edu/whats-new-final-rule</w:t>
              </w:r>
            </w:hyperlink>
          </w:p>
          <w:p w:rsidR="005848D8" w:rsidRDefault="005848D8" w:rsidP="005848D8">
            <w:pPr>
              <w:pStyle w:val="ListParagraph"/>
              <w:numPr>
                <w:ilvl w:val="0"/>
                <w:numId w:val="35"/>
              </w:numPr>
            </w:pPr>
            <w:r>
              <w:t xml:space="preserve">Group recommends all members take the CITI course on </w:t>
            </w:r>
            <w:r w:rsidR="009D30A7">
              <w:t>the Revised Common Rule to become familiar with the new requirements.</w:t>
            </w:r>
          </w:p>
          <w:p w:rsidR="005848D8" w:rsidRDefault="005848D8" w:rsidP="005848D8">
            <w:pPr>
              <w:pStyle w:val="ListParagraph"/>
              <w:numPr>
                <w:ilvl w:val="1"/>
                <w:numId w:val="35"/>
              </w:numPr>
            </w:pPr>
            <w:r>
              <w:t>Link to be emailed to all members for easy access to the course</w:t>
            </w:r>
          </w:p>
          <w:p w:rsidR="009D30A7" w:rsidRDefault="009D30A7" w:rsidP="009D30A7">
            <w:pPr>
              <w:pStyle w:val="ListParagraph"/>
              <w:numPr>
                <w:ilvl w:val="0"/>
                <w:numId w:val="35"/>
              </w:numPr>
            </w:pPr>
            <w:r>
              <w:t>Many existing IRB documents will need to be updated to meet these requirements.</w:t>
            </w:r>
          </w:p>
          <w:p w:rsidR="005848D8" w:rsidRDefault="005848D8" w:rsidP="005848D8">
            <w:pPr>
              <w:pStyle w:val="ListParagraph"/>
              <w:ind w:left="1440"/>
            </w:pPr>
          </w:p>
        </w:tc>
      </w:tr>
      <w:tr w:rsidR="37733A6A" w:rsidTr="00B56BAF">
        <w:trPr>
          <w:trHeight w:val="638"/>
          <w:jc w:val="center"/>
        </w:trPr>
        <w:tc>
          <w:tcPr>
            <w:tcW w:w="2155" w:type="dxa"/>
          </w:tcPr>
          <w:p w:rsidR="37733A6A" w:rsidRDefault="37733A6A" w:rsidP="37733A6A">
            <w:r>
              <w:t>Create email coaching process to help grant proposal review.</w:t>
            </w:r>
          </w:p>
        </w:tc>
        <w:tc>
          <w:tcPr>
            <w:tcW w:w="12065" w:type="dxa"/>
            <w:tcBorders>
              <w:top w:val="nil"/>
            </w:tcBorders>
          </w:tcPr>
          <w:p w:rsidR="00A77227" w:rsidRDefault="00F25DB3" w:rsidP="00EB3CFC">
            <w:pPr>
              <w:pStyle w:val="ListParagraph"/>
              <w:numPr>
                <w:ilvl w:val="0"/>
                <w:numId w:val="35"/>
              </w:numPr>
            </w:pPr>
            <w:r>
              <w:t>To</w:t>
            </w:r>
            <w:r w:rsidR="00EB3CFC">
              <w:t xml:space="preserve"> be discussed </w:t>
            </w:r>
            <w:r>
              <w:t>by email outside of this</w:t>
            </w:r>
            <w:r w:rsidR="00A77227">
              <w:t xml:space="preserve"> meeting</w:t>
            </w:r>
            <w:r w:rsidR="00EB3CFC">
              <w:t>.</w:t>
            </w:r>
          </w:p>
          <w:p w:rsidR="00F25DB3" w:rsidRDefault="00F25DB3" w:rsidP="00F25DB3">
            <w:pPr>
              <w:pStyle w:val="ListParagraph"/>
              <w:numPr>
                <w:ilvl w:val="1"/>
                <w:numId w:val="35"/>
              </w:numPr>
            </w:pPr>
            <w:r>
              <w:t xml:space="preserve">Matt </w:t>
            </w:r>
            <w:r w:rsidR="004D5D70">
              <w:t xml:space="preserve">F. </w:t>
            </w:r>
            <w:r>
              <w:t>will forward a draft of his proposed ideas</w:t>
            </w:r>
          </w:p>
        </w:tc>
      </w:tr>
      <w:tr w:rsidR="37733A6A" w:rsidTr="00B56BAF">
        <w:trPr>
          <w:trHeight w:val="638"/>
          <w:jc w:val="center"/>
        </w:trPr>
        <w:tc>
          <w:tcPr>
            <w:tcW w:w="2155" w:type="dxa"/>
          </w:tcPr>
          <w:p w:rsidR="37733A6A" w:rsidRDefault="388D3B59" w:rsidP="37733A6A">
            <w:r>
              <w:t>IRB Proposal form - LCC nondiscriminatory statement added.</w:t>
            </w:r>
          </w:p>
        </w:tc>
        <w:tc>
          <w:tcPr>
            <w:tcW w:w="12065" w:type="dxa"/>
            <w:tcBorders>
              <w:top w:val="nil"/>
            </w:tcBorders>
          </w:tcPr>
          <w:p w:rsidR="00F25DB3" w:rsidRDefault="00F25DB3" w:rsidP="00DB3A8A">
            <w:pPr>
              <w:pStyle w:val="ListParagraph"/>
              <w:numPr>
                <w:ilvl w:val="0"/>
                <w:numId w:val="35"/>
              </w:numPr>
            </w:pPr>
            <w:r>
              <w:t xml:space="preserve">Due to the Revised Common Rule that went into effect </w:t>
            </w:r>
            <w:r w:rsidR="00DE7C35">
              <w:t>January 21, 2019</w:t>
            </w:r>
            <w:r>
              <w:t xml:space="preserve"> we will need to change many IRB documents.</w:t>
            </w:r>
          </w:p>
          <w:p w:rsidR="00F25DB3" w:rsidRDefault="00F25DB3" w:rsidP="00F25DB3">
            <w:pPr>
              <w:pStyle w:val="ListParagraph"/>
              <w:numPr>
                <w:ilvl w:val="1"/>
                <w:numId w:val="35"/>
              </w:numPr>
            </w:pPr>
            <w:r>
              <w:t xml:space="preserve">Large project will require several steps to complete </w:t>
            </w:r>
          </w:p>
          <w:p w:rsidR="37733A6A" w:rsidRDefault="00F25DB3" w:rsidP="00F25DB3">
            <w:pPr>
              <w:pStyle w:val="ListParagraph"/>
              <w:numPr>
                <w:ilvl w:val="1"/>
                <w:numId w:val="35"/>
              </w:numPr>
            </w:pPr>
            <w:r>
              <w:t xml:space="preserve">Drafts will be </w:t>
            </w:r>
            <w:r w:rsidR="00A77227">
              <w:t>sent via email for review and fe</w:t>
            </w:r>
            <w:r w:rsidR="00DE7C35">
              <w:t>edback outside of this meeting</w:t>
            </w:r>
          </w:p>
          <w:p w:rsidR="009F47FA" w:rsidRDefault="00F25DB3" w:rsidP="00F25DB3">
            <w:pPr>
              <w:pStyle w:val="ListParagraph"/>
              <w:numPr>
                <w:ilvl w:val="0"/>
                <w:numId w:val="35"/>
              </w:numPr>
            </w:pPr>
            <w:r>
              <w:t xml:space="preserve">Group approved changing the name of Lansing Community College’s current Institutional Review Board (IRB) to Human Subject Institutional Review Board (HSIRB) to better </w:t>
            </w:r>
            <w:r w:rsidR="004D5D70">
              <w:t xml:space="preserve">communicate </w:t>
            </w:r>
            <w:r>
              <w:t>the scope of services provided by this board.</w:t>
            </w:r>
          </w:p>
          <w:p w:rsidR="00F25DB3" w:rsidRDefault="00F25DB3" w:rsidP="00F25DB3">
            <w:pPr>
              <w:pStyle w:val="ListParagraph"/>
              <w:numPr>
                <w:ilvl w:val="0"/>
                <w:numId w:val="35"/>
              </w:numPr>
            </w:pPr>
            <w:r>
              <w:t>Where required the LCC nondiscriminatory statement will be added to documents as they go through the revision process.</w:t>
            </w:r>
          </w:p>
          <w:p w:rsidR="00F25DB3" w:rsidRDefault="00F25DB3" w:rsidP="00F25DB3">
            <w:pPr>
              <w:pStyle w:val="ListParagraph"/>
            </w:pPr>
          </w:p>
        </w:tc>
      </w:tr>
      <w:tr w:rsidR="00985BA3" w:rsidRPr="00EF6EE5" w:rsidTr="00B56BAF">
        <w:trPr>
          <w:trHeight w:val="917"/>
          <w:jc w:val="center"/>
        </w:trPr>
        <w:tc>
          <w:tcPr>
            <w:tcW w:w="2155" w:type="dxa"/>
          </w:tcPr>
          <w:p w:rsidR="00985BA3" w:rsidRDefault="388D3B59" w:rsidP="388D3B59">
            <w:r>
              <w:t xml:space="preserve">Other items/next meeting 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766C97"/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>Next meeting is April 5, 2019, 11-12pm in ADM 200</w:t>
            </w:r>
          </w:p>
          <w:p w:rsidR="00DB3A8A" w:rsidRDefault="00DB3A8A" w:rsidP="00F25DB3">
            <w:pPr>
              <w:pStyle w:val="ListParagraph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1B73C7">
      <w:footerReference w:type="default" r:id="rId11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6A" w:rsidRDefault="00AA616A" w:rsidP="0016567A">
      <w:r>
        <w:separator/>
      </w:r>
    </w:p>
  </w:endnote>
  <w:endnote w:type="continuationSeparator" w:id="0">
    <w:p w:rsidR="00AA616A" w:rsidRDefault="00AA616A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6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6A" w:rsidRDefault="00AA616A" w:rsidP="0016567A">
      <w:r>
        <w:separator/>
      </w:r>
    </w:p>
  </w:footnote>
  <w:footnote w:type="continuationSeparator" w:id="0">
    <w:p w:rsidR="00AA616A" w:rsidRDefault="00AA616A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D3B48"/>
    <w:multiLevelType w:val="hybridMultilevel"/>
    <w:tmpl w:val="E304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8"/>
  </w:num>
  <w:num w:numId="4">
    <w:abstractNumId w:val="6"/>
  </w:num>
  <w:num w:numId="5">
    <w:abstractNumId w:val="27"/>
  </w:num>
  <w:num w:numId="6">
    <w:abstractNumId w:val="24"/>
  </w:num>
  <w:num w:numId="7">
    <w:abstractNumId w:val="16"/>
  </w:num>
  <w:num w:numId="8">
    <w:abstractNumId w:val="1"/>
  </w:num>
  <w:num w:numId="9">
    <w:abstractNumId w:val="4"/>
  </w:num>
  <w:num w:numId="10">
    <w:abstractNumId w:val="30"/>
  </w:num>
  <w:num w:numId="11">
    <w:abstractNumId w:val="0"/>
  </w:num>
  <w:num w:numId="12">
    <w:abstractNumId w:val="33"/>
  </w:num>
  <w:num w:numId="13">
    <w:abstractNumId w:val="2"/>
  </w:num>
  <w:num w:numId="14">
    <w:abstractNumId w:val="13"/>
  </w:num>
  <w:num w:numId="15">
    <w:abstractNumId w:val="3"/>
  </w:num>
  <w:num w:numId="16">
    <w:abstractNumId w:val="12"/>
  </w:num>
  <w:num w:numId="17">
    <w:abstractNumId w:val="8"/>
  </w:num>
  <w:num w:numId="18">
    <w:abstractNumId w:val="31"/>
  </w:num>
  <w:num w:numId="19">
    <w:abstractNumId w:val="22"/>
  </w:num>
  <w:num w:numId="20">
    <w:abstractNumId w:val="11"/>
  </w:num>
  <w:num w:numId="21">
    <w:abstractNumId w:val="22"/>
  </w:num>
  <w:num w:numId="22">
    <w:abstractNumId w:val="10"/>
  </w:num>
  <w:num w:numId="23">
    <w:abstractNumId w:val="20"/>
  </w:num>
  <w:num w:numId="24">
    <w:abstractNumId w:val="25"/>
  </w:num>
  <w:num w:numId="25">
    <w:abstractNumId w:val="5"/>
  </w:num>
  <w:num w:numId="26">
    <w:abstractNumId w:val="21"/>
  </w:num>
  <w:num w:numId="27">
    <w:abstractNumId w:val="17"/>
  </w:num>
  <w:num w:numId="28">
    <w:abstractNumId w:val="9"/>
  </w:num>
  <w:num w:numId="29">
    <w:abstractNumId w:val="3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9"/>
  </w:num>
  <w:num w:numId="34">
    <w:abstractNumId w:val="7"/>
  </w:num>
  <w:num w:numId="35">
    <w:abstractNumId w:val="26"/>
  </w:num>
  <w:num w:numId="3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0C5E"/>
    <w:rsid w:val="0009343E"/>
    <w:rsid w:val="000A0948"/>
    <w:rsid w:val="000A6872"/>
    <w:rsid w:val="000A7483"/>
    <w:rsid w:val="000A7FE7"/>
    <w:rsid w:val="000B0233"/>
    <w:rsid w:val="000B460B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999"/>
    <w:rsid w:val="005F76C3"/>
    <w:rsid w:val="006032C7"/>
    <w:rsid w:val="00606488"/>
    <w:rsid w:val="00606A4D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A23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C6E"/>
    <w:rsid w:val="00790A35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77227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70B3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30D6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ADA"/>
    <w:rsid w:val="00D01F45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4A7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3A8A"/>
    <w:rsid w:val="00DB4C81"/>
    <w:rsid w:val="00DB63D8"/>
    <w:rsid w:val="00DB7D1A"/>
    <w:rsid w:val="00DC0B96"/>
    <w:rsid w:val="00DC2170"/>
    <w:rsid w:val="00DC4A0A"/>
    <w:rsid w:val="00DC6359"/>
    <w:rsid w:val="00DD11DF"/>
    <w:rsid w:val="00DD71A6"/>
    <w:rsid w:val="00DE1E79"/>
    <w:rsid w:val="00DE2990"/>
    <w:rsid w:val="00DE53C3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692C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CFC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812EB"/>
    <w:rsid w:val="00F81991"/>
    <w:rsid w:val="00F81EBD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412516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uhs.harvard.edu/whats-new-final-ru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6" ma:contentTypeDescription="Create a new document." ma:contentTypeScope="" ma:versionID="da28eb463f4c99f114c6464b79ac9be3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869bda6911eadf9400b0135a34c86b91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2B918-449A-4446-8961-F77C699A6084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bf0dde70-ae85-4f7b-9514-a3ea0787b580"/>
    <ds:schemaRef ds:uri="http://schemas.microsoft.com/office/2006/documentManagement/types"/>
    <ds:schemaRef ds:uri="75f2ae61-4b07-4dba-9996-d4c2bf80042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2D7EE0-02D9-49E9-8E46-18E06740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3</cp:revision>
  <cp:lastPrinted>2018-06-20T14:08:00Z</cp:lastPrinted>
  <dcterms:created xsi:type="dcterms:W3CDTF">2019-03-07T14:21:00Z</dcterms:created>
  <dcterms:modified xsi:type="dcterms:W3CDTF">2019-03-07T16:11:00Z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